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23" w:rsidRPr="006F2392" w:rsidRDefault="00A14723" w:rsidP="00A14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2392">
        <w:rPr>
          <w:rFonts w:ascii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A14723" w:rsidRPr="006F2392" w:rsidRDefault="00A14723" w:rsidP="00A14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2392">
        <w:rPr>
          <w:rFonts w:ascii="Times New Roman" w:hAnsi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A14723" w:rsidRPr="006F2392" w:rsidRDefault="00A14723" w:rsidP="00A14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2392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A14723" w:rsidRPr="006F2392" w:rsidRDefault="00A14723" w:rsidP="00A14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2392">
        <w:rPr>
          <w:rFonts w:ascii="Times New Roman" w:hAnsi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8C7C4C" w:rsidRPr="006F2392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6F2392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F2392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8C7C4C" w:rsidRPr="006F2392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7C4C" w:rsidRPr="006F2392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6F2392" w:rsidRPr="006F2392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8C7C4C" w:rsidRPr="006F2392" w:rsidRDefault="001C5120" w:rsidP="001C5120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F23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A14723" w:rsidRPr="006F23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  <w:r w:rsidRPr="006F23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A14723" w:rsidRPr="006F23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0.2022</w:t>
            </w:r>
          </w:p>
        </w:tc>
        <w:tc>
          <w:tcPr>
            <w:tcW w:w="6060" w:type="dxa"/>
          </w:tcPr>
          <w:p w:rsidR="008C7C4C" w:rsidRPr="006F2392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F23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C7C4C" w:rsidRPr="006F2392" w:rsidRDefault="001C5120" w:rsidP="001C5120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F23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</w:tr>
      <w:tr w:rsidR="006F2392" w:rsidRPr="006F2392" w:rsidTr="00101995">
        <w:tc>
          <w:tcPr>
            <w:tcW w:w="1710" w:type="dxa"/>
          </w:tcPr>
          <w:p w:rsidR="008C7C4C" w:rsidRPr="006F2392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6F2392" w:rsidRDefault="00316E8B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F23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8C7C4C" w:rsidRPr="006F23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6F23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Чистополье</w:t>
            </w:r>
          </w:p>
          <w:p w:rsidR="008C7C4C" w:rsidRPr="006F2392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8C7C4C" w:rsidRPr="006F2392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7307" w:rsidRPr="006F2392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6F2392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6F2392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2392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формы проверочного листа </w:t>
      </w:r>
      <w:r w:rsidRPr="006F2392">
        <w:rPr>
          <w:rFonts w:ascii="Times New Roman" w:hAnsi="Times New Roman"/>
          <w:b/>
          <w:sz w:val="28"/>
          <w:szCs w:val="28"/>
        </w:rPr>
        <w:t>(</w:t>
      </w:r>
      <w:bookmarkStart w:id="0" w:name="_GoBack"/>
      <w:bookmarkEnd w:id="0"/>
      <w:r w:rsidRPr="006F2392">
        <w:rPr>
          <w:rFonts w:ascii="Times New Roman" w:hAnsi="Times New Roman"/>
          <w:b/>
          <w:sz w:val="28"/>
          <w:szCs w:val="28"/>
        </w:rPr>
        <w:t xml:space="preserve">список контрольных вопросов), используемого </w:t>
      </w:r>
      <w:r w:rsidRPr="006F2392">
        <w:rPr>
          <w:rFonts w:ascii="Times New Roman" w:hAnsi="Times New Roman"/>
          <w:b/>
          <w:sz w:val="28"/>
          <w:szCs w:val="28"/>
          <w:lang w:eastAsia="ru-RU"/>
        </w:rPr>
        <w:t>при проведении плановой проверки в ходе осуществления муниципального жилищного контроля на территории</w:t>
      </w:r>
      <w:r w:rsidR="008C7C4C" w:rsidRPr="006F23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16E8B" w:rsidRPr="006F2392">
        <w:rPr>
          <w:rFonts w:ascii="Times New Roman" w:hAnsi="Times New Roman"/>
          <w:b/>
          <w:sz w:val="28"/>
          <w:szCs w:val="28"/>
        </w:rPr>
        <w:t>Чистопольского</w:t>
      </w:r>
      <w:proofErr w:type="spellEnd"/>
      <w:r w:rsidRPr="006F239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E97307" w:rsidRPr="006F2392" w:rsidRDefault="00E97307" w:rsidP="0027365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F2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07" w:rsidRPr="006F2392" w:rsidRDefault="00E97307" w:rsidP="00273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6F2392" w:rsidRDefault="00E97307" w:rsidP="0027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3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F2392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6F2392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6F23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23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  <w:r w:rsidR="00316E8B" w:rsidRPr="006F239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316E8B" w:rsidRPr="006F2392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316E8B" w:rsidRPr="006F23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6E8B" w:rsidRPr="006F2392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316E8B" w:rsidRPr="006F2392">
        <w:rPr>
          <w:rFonts w:ascii="Times New Roman" w:hAnsi="Times New Roman" w:cs="Times New Roman"/>
          <w:sz w:val="28"/>
          <w:szCs w:val="28"/>
        </w:rPr>
        <w:t xml:space="preserve"> района Кировской области, ПОСТАНОВЛЯЕТ</w:t>
      </w:r>
      <w:r w:rsidRPr="006F2392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E97307" w:rsidRPr="006F2392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307" w:rsidRPr="006F2392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392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6F2392">
        <w:rPr>
          <w:rFonts w:ascii="Times New Roman" w:hAnsi="Times New Roman"/>
          <w:sz w:val="28"/>
          <w:szCs w:val="28"/>
        </w:rPr>
        <w:t xml:space="preserve">(список контрольных вопросов), используемого </w:t>
      </w:r>
      <w:r w:rsidRPr="006F2392">
        <w:rPr>
          <w:rFonts w:ascii="Times New Roman" w:hAnsi="Times New Roman"/>
          <w:sz w:val="28"/>
          <w:szCs w:val="28"/>
          <w:lang w:eastAsia="ru-RU"/>
        </w:rPr>
        <w:t>при проведении плановой проверки в ходе осуществления</w:t>
      </w:r>
      <w:r w:rsidRPr="006F2392">
        <w:rPr>
          <w:rFonts w:ascii="Times New Roman" w:hAnsi="Times New Roman"/>
          <w:sz w:val="28"/>
          <w:szCs w:val="28"/>
        </w:rPr>
        <w:t xml:space="preserve">  </w:t>
      </w:r>
      <w:r w:rsidRPr="006F2392">
        <w:rPr>
          <w:rFonts w:ascii="Times New Roman" w:hAnsi="Times New Roman"/>
          <w:sz w:val="28"/>
          <w:szCs w:val="28"/>
          <w:lang w:eastAsia="ru-RU"/>
        </w:rPr>
        <w:t xml:space="preserve">муниципального жилищного </w:t>
      </w:r>
      <w:r w:rsidR="00316E8B" w:rsidRPr="006F2392">
        <w:rPr>
          <w:rFonts w:ascii="Times New Roman" w:hAnsi="Times New Roman"/>
          <w:sz w:val="28"/>
          <w:szCs w:val="28"/>
          <w:lang w:eastAsia="ru-RU"/>
        </w:rPr>
        <w:t xml:space="preserve">контроля на территории </w:t>
      </w:r>
      <w:proofErr w:type="spellStart"/>
      <w:r w:rsidR="00316E8B" w:rsidRPr="006F2392">
        <w:rPr>
          <w:rFonts w:ascii="Times New Roman" w:hAnsi="Times New Roman"/>
          <w:sz w:val="28"/>
          <w:szCs w:val="28"/>
          <w:lang w:eastAsia="ru-RU"/>
        </w:rPr>
        <w:t>Чистопольского</w:t>
      </w:r>
      <w:proofErr w:type="spellEnd"/>
      <w:r w:rsidR="008C7C4C" w:rsidRPr="006F23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39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443F2A" w:rsidRPr="006F2392">
        <w:rPr>
          <w:rFonts w:ascii="Times New Roman" w:hAnsi="Times New Roman"/>
          <w:sz w:val="28"/>
          <w:szCs w:val="28"/>
          <w:lang w:eastAsia="ru-RU"/>
        </w:rPr>
        <w:t>(</w:t>
      </w:r>
      <w:r w:rsidRPr="006F2392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443F2A" w:rsidRPr="006F2392">
        <w:rPr>
          <w:rFonts w:ascii="Times New Roman" w:hAnsi="Times New Roman"/>
          <w:sz w:val="28"/>
          <w:szCs w:val="28"/>
          <w:lang w:eastAsia="ru-RU"/>
        </w:rPr>
        <w:t>е</w:t>
      </w:r>
      <w:r w:rsidR="00316E8B" w:rsidRPr="006F2392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443F2A" w:rsidRPr="006F2392">
        <w:rPr>
          <w:rFonts w:ascii="Times New Roman" w:hAnsi="Times New Roman"/>
          <w:sz w:val="28"/>
          <w:szCs w:val="28"/>
          <w:lang w:eastAsia="ru-RU"/>
        </w:rPr>
        <w:t>)</w:t>
      </w:r>
      <w:r w:rsidRPr="006F2392">
        <w:rPr>
          <w:rFonts w:ascii="Times New Roman" w:hAnsi="Times New Roman"/>
          <w:sz w:val="28"/>
          <w:szCs w:val="28"/>
          <w:lang w:eastAsia="ru-RU"/>
        </w:rPr>
        <w:t>.</w:t>
      </w:r>
    </w:p>
    <w:p w:rsidR="00E97307" w:rsidRPr="006F2392" w:rsidRDefault="001C5120" w:rsidP="001C5120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2392">
        <w:rPr>
          <w:rFonts w:ascii="Times New Roman" w:hAnsi="Times New Roman"/>
          <w:sz w:val="28"/>
          <w:szCs w:val="28"/>
          <w:lang w:eastAsia="ru-RU"/>
        </w:rPr>
        <w:t>2. Постановление от 17.02.2022 № 9 «</w:t>
      </w:r>
      <w:r w:rsidRPr="006F2392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проверочного листа </w:t>
      </w:r>
      <w:r w:rsidRPr="006F2392">
        <w:rPr>
          <w:rFonts w:ascii="Times New Roman" w:hAnsi="Times New Roman"/>
          <w:sz w:val="28"/>
          <w:szCs w:val="28"/>
        </w:rPr>
        <w:t xml:space="preserve">(список контрольных вопросов), используемого </w:t>
      </w:r>
      <w:r w:rsidRPr="006F2392">
        <w:rPr>
          <w:rFonts w:ascii="Times New Roman" w:hAnsi="Times New Roman"/>
          <w:sz w:val="28"/>
          <w:szCs w:val="28"/>
          <w:lang w:eastAsia="ru-RU"/>
        </w:rPr>
        <w:t xml:space="preserve">при проведении плановой проверки в ходе осуществления муниципального жилищного контроля на территории </w:t>
      </w:r>
      <w:proofErr w:type="spellStart"/>
      <w:r w:rsidRPr="006F2392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6F239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F2392">
        <w:rPr>
          <w:rFonts w:ascii="Times New Roman" w:hAnsi="Times New Roman"/>
          <w:sz w:val="28"/>
          <w:szCs w:val="28"/>
          <w:lang w:eastAsia="ru-RU"/>
        </w:rPr>
        <w:t xml:space="preserve">», отменить. </w:t>
      </w:r>
    </w:p>
    <w:p w:rsidR="00316E8B" w:rsidRPr="006F2392" w:rsidRDefault="001C5120" w:rsidP="00316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392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316E8B" w:rsidRPr="006F2392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316E8B" w:rsidRPr="006F2392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316E8B" w:rsidRPr="006F2392">
        <w:rPr>
          <w:rFonts w:ascii="Times New Roman" w:eastAsia="Times New Roman" w:hAnsi="Times New Roman"/>
          <w:sz w:val="26"/>
          <w:szCs w:val="26"/>
          <w:lang w:eastAsia="ru-RU"/>
        </w:rPr>
        <w:t>Котельничский</w:t>
      </w:r>
      <w:proofErr w:type="spellEnd"/>
      <w:r w:rsidR="00316E8B" w:rsidRPr="006F2392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 Кировской области </w:t>
      </w:r>
      <w:hyperlink r:id="rId10" w:history="1">
        <w:r w:rsidR="00316E8B" w:rsidRPr="006F2392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http://www.kotelnich-msu.ru</w:t>
        </w:r>
      </w:hyperlink>
      <w:r w:rsidR="00316E8B" w:rsidRPr="006F239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16E8B" w:rsidRPr="006F23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E8B" w:rsidRPr="006F2392" w:rsidRDefault="00316E8B" w:rsidP="00316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E8B" w:rsidRPr="006F2392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6E8B" w:rsidRPr="006F2392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2392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  <w:proofErr w:type="spellStart"/>
      <w:r w:rsidRPr="006F2392">
        <w:rPr>
          <w:rFonts w:ascii="Times New Roman" w:eastAsia="Times New Roman" w:hAnsi="Times New Roman"/>
          <w:sz w:val="28"/>
          <w:szCs w:val="28"/>
          <w:lang w:eastAsia="zh-CN"/>
        </w:rPr>
        <w:t>Чистопольского</w:t>
      </w:r>
      <w:proofErr w:type="spellEnd"/>
    </w:p>
    <w:p w:rsidR="00316E8B" w:rsidRPr="006F2392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F2392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</w:t>
      </w:r>
      <w:r w:rsidRPr="006F239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6F239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6F239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6F239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6F2392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          С.Ю. Ломакин</w:t>
      </w:r>
    </w:p>
    <w:p w:rsidR="00E97307" w:rsidRPr="006F2392" w:rsidRDefault="00E97307" w:rsidP="0027365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307" w:rsidRPr="006F2392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97307" w:rsidRPr="006F2392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16E8B" w:rsidRPr="006F2392" w:rsidRDefault="00316E8B" w:rsidP="00316E8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3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16E8B" w:rsidRPr="006F2392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39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316E8B" w:rsidRPr="006F2392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39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316E8B" w:rsidRPr="006F2392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2392">
        <w:rPr>
          <w:rFonts w:ascii="Times New Roman" w:eastAsia="Times New Roman" w:hAnsi="Times New Roman"/>
          <w:sz w:val="24"/>
          <w:szCs w:val="24"/>
          <w:lang w:eastAsia="ru-RU"/>
        </w:rPr>
        <w:t>Чистопольского</w:t>
      </w:r>
      <w:proofErr w:type="spellEnd"/>
    </w:p>
    <w:p w:rsidR="00316E8B" w:rsidRPr="006F2392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39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E97307" w:rsidRPr="006F2392" w:rsidRDefault="00316E8B" w:rsidP="00316E8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6F2392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от </w:t>
      </w:r>
      <w:r w:rsidR="001C5120" w:rsidRPr="006F2392">
        <w:rPr>
          <w:rFonts w:ascii="Times New Roman" w:hAnsi="Times New Roman" w:cs="Times New Roman"/>
          <w:b w:val="0"/>
          <w:sz w:val="24"/>
          <w:szCs w:val="24"/>
          <w:lang w:eastAsia="zh-CN"/>
        </w:rPr>
        <w:t>2</w:t>
      </w:r>
      <w:r w:rsidR="00A14723" w:rsidRPr="006F2392">
        <w:rPr>
          <w:rFonts w:ascii="Times New Roman" w:hAnsi="Times New Roman" w:cs="Times New Roman"/>
          <w:b w:val="0"/>
          <w:sz w:val="24"/>
          <w:szCs w:val="24"/>
          <w:lang w:eastAsia="zh-CN"/>
        </w:rPr>
        <w:t>7.</w:t>
      </w:r>
      <w:r w:rsidR="001C5120" w:rsidRPr="006F2392">
        <w:rPr>
          <w:rFonts w:ascii="Times New Roman" w:hAnsi="Times New Roman" w:cs="Times New Roman"/>
          <w:b w:val="0"/>
          <w:sz w:val="24"/>
          <w:szCs w:val="24"/>
          <w:lang w:eastAsia="zh-CN"/>
        </w:rPr>
        <w:t>1</w:t>
      </w:r>
      <w:r w:rsidR="00A14723" w:rsidRPr="006F2392">
        <w:rPr>
          <w:rFonts w:ascii="Times New Roman" w:hAnsi="Times New Roman" w:cs="Times New Roman"/>
          <w:b w:val="0"/>
          <w:sz w:val="24"/>
          <w:szCs w:val="24"/>
          <w:lang w:eastAsia="zh-CN"/>
        </w:rPr>
        <w:t>0.2022</w:t>
      </w:r>
      <w:r w:rsidRPr="006F2392">
        <w:rPr>
          <w:rFonts w:ascii="Times New Roman" w:hAnsi="Times New Roman" w:cs="Times New Roman"/>
          <w:b w:val="0"/>
          <w:sz w:val="24"/>
          <w:szCs w:val="24"/>
          <w:lang w:eastAsia="zh-CN"/>
        </w:rPr>
        <w:t xml:space="preserve"> № </w:t>
      </w:r>
      <w:r w:rsidR="001C5120" w:rsidRPr="006F2392">
        <w:rPr>
          <w:rFonts w:ascii="Times New Roman" w:hAnsi="Times New Roman" w:cs="Times New Roman"/>
          <w:b w:val="0"/>
          <w:sz w:val="24"/>
          <w:szCs w:val="24"/>
          <w:lang w:eastAsia="zh-CN"/>
        </w:rPr>
        <w:t>31</w:t>
      </w:r>
    </w:p>
    <w:p w:rsidR="001C5120" w:rsidRPr="006F2392" w:rsidRDefault="001C5120" w:rsidP="001C5120">
      <w:pPr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C5120" w:rsidRPr="001C5120" w:rsidRDefault="001C5120" w:rsidP="001C5120">
      <w:pPr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Форма</w:t>
      </w:r>
    </w:p>
    <w:tbl>
      <w:tblPr>
        <w:tblW w:w="9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8"/>
      </w:tblGrid>
      <w:tr w:rsidR="006F2392" w:rsidRPr="001C5120" w:rsidTr="00210F13">
        <w:trPr>
          <w:trHeight w:val="2016"/>
        </w:trPr>
        <w:tc>
          <w:tcPr>
            <w:tcW w:w="927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QR-код</w:t>
            </w:r>
          </w:p>
          <w:p w:rsidR="001C5120" w:rsidRPr="001C5120" w:rsidRDefault="001C5120" w:rsidP="001C5120">
            <w:pPr>
              <w:spacing w:after="0" w:line="312" w:lineRule="atLeast"/>
              <w:ind w:left="-7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 w:rsidRPr="001C5120">
                <w:rPr>
                  <w:rFonts w:ascii="Times New Roman" w:eastAsia="Times New Roman" w:hAnsi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приложением</w:t>
              </w:r>
            </w:hyperlink>
            <w:r w:rsidRPr="001C512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к настоящим Правилам</w:t>
            </w:r>
          </w:p>
        </w:tc>
      </w:tr>
    </w:tbl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ФОРМА</w:t>
      </w:r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</w:t>
      </w:r>
      <w:proofErr w:type="spellStart"/>
      <w:r w:rsidRPr="001C512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Чистопольское</w:t>
      </w:r>
      <w:proofErr w:type="spellEnd"/>
      <w:r w:rsidRPr="001C512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proofErr w:type="spellStart"/>
      <w:r w:rsidRPr="001C512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Котельничского</w:t>
      </w:r>
      <w:proofErr w:type="spellEnd"/>
      <w:r w:rsidRPr="001C512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района Кировской области</w:t>
      </w:r>
    </w:p>
    <w:p w:rsidR="001C5120" w:rsidRPr="001C5120" w:rsidRDefault="001C5120" w:rsidP="001C5120">
      <w:pPr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«__»________ 20__ г.</w:t>
      </w:r>
    </w:p>
    <w:p w:rsidR="001C5120" w:rsidRPr="001C5120" w:rsidRDefault="001C5120" w:rsidP="001C5120">
      <w:pPr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</w:t>
      </w: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указывается дата заполнения</w:t>
      </w:r>
      <w:proofErr w:type="gramEnd"/>
    </w:p>
    <w:p w:rsidR="001C5120" w:rsidRPr="001C5120" w:rsidRDefault="001C5120" w:rsidP="001C5120">
      <w:pPr>
        <w:spacing w:after="0" w:line="312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проверочного листа)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 Вид контроля, включенный в единый реестр видов контроля: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 Вид контрольного мероприятия: 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 Фамилия, имя и отчество (при наличии) гражданина или индивидуального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6. Место (места) проведения контрольного мероприятия с заполнением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проверочного листа: 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8. Учётный номер контрольного мероприятия: 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07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533"/>
        <w:gridCol w:w="2410"/>
        <w:gridCol w:w="550"/>
        <w:gridCol w:w="674"/>
        <w:gridCol w:w="1384"/>
        <w:gridCol w:w="1861"/>
      </w:tblGrid>
      <w:tr w:rsidR="006F2392" w:rsidRPr="001C5120" w:rsidTr="00210F13">
        <w:tc>
          <w:tcPr>
            <w:tcW w:w="661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 </w:t>
            </w:r>
            <w:proofErr w:type="gramStart"/>
            <w:r w:rsidRPr="001C512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1C512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533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08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Ответы на контрольные вопросы</w:t>
            </w:r>
          </w:p>
        </w:tc>
        <w:tc>
          <w:tcPr>
            <w:tcW w:w="1861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F2392" w:rsidRPr="001C5120" w:rsidTr="00210F13">
        <w:tc>
          <w:tcPr>
            <w:tcW w:w="661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center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неприменимо</w:t>
            </w:r>
          </w:p>
        </w:tc>
        <w:tc>
          <w:tcPr>
            <w:tcW w:w="1861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10073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 1 — 3 статьи 161 Жилищного кодекса Российской Федерации (далее – ЖК РФ)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2 статьи 147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 2 и 2.1 статьи 155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</w:t>
            </w: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Часть 12 статьи 156, часть 6 статьи 157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</w:t>
            </w: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непогашенной задолженности —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10073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Контрольные вопросы о соблюдении обязательных требований к жилым помещениям,</w:t>
            </w: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их использованию и содержанию</w:t>
            </w: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Статьи 17, 67 ЖК РФ, пункты 3 и 4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пользования жилыми помещениями, </w:t>
            </w: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утвержденных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«в» пункта 10 Правил № 25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</w:t>
            </w: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Пункт 6, подпункт «г» пункта 10 Правил № 25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Наниматель производит текущий ремонт жилого помещения?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«е» пункта 10 Правил № 25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«к» пункта 10 Правил № 25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наймодателем</w:t>
            </w:r>
            <w:proofErr w:type="spell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«а» пункта 9 Правил № 25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наймодателем</w:t>
            </w:r>
            <w:proofErr w:type="spell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сдачи жилого помещения или его части в поднаем?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«б» пункта 9 Правил № 25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наймодателя</w:t>
            </w:r>
            <w:proofErr w:type="spellEnd"/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«в» пункта 9 Правил № 25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10073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</w:t>
            </w:r>
            <w:proofErr w:type="gramEnd"/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1 статьи 26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1 статьи 28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3 статьи 29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10073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Статья 36 ЖК РФ, пункт 1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содержания общего имущества в многоквартирном доме, </w:t>
            </w: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утвержденных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постановлением Правительства Российской Федерации от 13.08.2006 № 491 (далее – Правила № 491)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пункт 24 Правил № 491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«а» пункта 24 Правил № 491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«а</w:t>
            </w: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пункта 24 Правил № 491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«б» пункта 24 Правил № 491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18.4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установленным требованиям, журнал осмотра?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«в» пункта 24 Правил № 491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18.5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«в</w:t>
            </w: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пункта 24 Правил № 491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</w:t>
            </w: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утвержденных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410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выявляются и устраняются неисправности фасадов?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выявляются и устраняются неисправности кровли?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выявляются и устраняются неисправности перекрытий?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20.4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выявляются и устраняются неисправности дымоходов, газоходов?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20.6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20.7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обеспечивается беспрепятственный отвод атмосферных и талых вод </w:t>
            </w: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— </w:t>
            </w:r>
            <w:proofErr w:type="spell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отмостков</w:t>
            </w:r>
            <w:proofErr w:type="spell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— спусков в подвал,</w:t>
            </w:r>
          </w:p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— оконных приямков?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обеспечивается надлежащая гидроизоляция</w:t>
            </w:r>
          </w:p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— фундаментов,</w:t>
            </w:r>
          </w:p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— стен подвала и цоколя,</w:t>
            </w:r>
          </w:p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— лестничных клеток,</w:t>
            </w:r>
          </w:p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— подвальных помещений</w:t>
            </w:r>
          </w:p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— чердачных помещений</w:t>
            </w:r>
          </w:p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— машинных отделений лифтов?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периоду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соблюдаются сроки подготовки, установленные графиком?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выполняется </w:t>
            </w:r>
            <w:proofErr w:type="spell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гидропневмопромывка</w:t>
            </w:r>
            <w:proofErr w:type="spell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системы отопления?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20.13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20.14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20.15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20.16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20.17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20.18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20.19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410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3 статьи 36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4 статьи 36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2 статьи 40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— сформирован годовой план содержания и </w:t>
            </w: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ремонта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Подпункт «в» пункта 4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416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Пункт 2.1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Пункт 2.1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25.2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2.1.1 пункта 2.1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25.3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2.1.1 пункта 2.1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осмотров отражены: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2.1.4 пункта 2.1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26.1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журнале осмотров —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2.1.4 пункта 2.1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26.2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паспорте готовности объекта — результаты осенних проверок готовности объекта к эксплуатации в зимних условиях?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2.1.4 пункта 2.1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26.3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актах — результаты общих обследований состояния жилищного фонда, выполняемых периодически?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Подпункт 2.1.4 пункта 2.1 Правил</w:t>
            </w:r>
          </w:p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10073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4.1 статьи 170 ЖК РФ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10073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</w:t>
            </w: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(далее – Федеральный закон № 261-ФЗ)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6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51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Часть 7 статьи 12 Федерального закона № 261-ФЗ</w:t>
            </w:r>
          </w:p>
        </w:tc>
        <w:tc>
          <w:tcPr>
            <w:tcW w:w="5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6F2392" w:rsidRPr="001C5120" w:rsidTr="00210F13">
        <w:tc>
          <w:tcPr>
            <w:tcW w:w="10073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5120" w:rsidRPr="001C5120" w:rsidRDefault="001C5120" w:rsidP="001C512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bookmarkStart w:id="1" w:name="Bookmark3"/>
            <w:bookmarkEnd w:id="1"/>
          </w:p>
        </w:tc>
      </w:tr>
    </w:tbl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Подписи должностного лица (лиц), проводящего (проводящих) проверку*:</w:t>
      </w:r>
      <w:proofErr w:type="gramEnd"/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Должность    ____________________________________                   /Ф.И.О.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Должность    ____________________________________                   /Ф.И.О.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* —</w:t>
      </w:r>
      <w:r w:rsidRPr="001C5120">
        <w:rPr>
          <w:rFonts w:ascii="Times New Roman" w:eastAsia="Times New Roman" w:hAnsi="Times New Roman"/>
          <w:sz w:val="28"/>
          <w:szCs w:val="28"/>
          <w:lang w:eastAsia="ru-RU"/>
        </w:rPr>
        <w:t xml:space="preserve"> в случае проведения контрольного (надзорного) мероприятия несколькими инспекторами в составе группы инспекторов проверочный лист </w:t>
      </w:r>
      <w:r w:rsidRPr="001C51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 проверочным листом ознакомле</w:t>
      </w:r>
      <w:proofErr w:type="gramStart"/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н(</w:t>
      </w:r>
      <w:proofErr w:type="gramEnd"/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а):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иного должностного лица или уполномоченного представителя юридического</w:t>
      </w:r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лица, индивидуального предпринимателя, его уполномоченного представителя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«__»____________________ 20__ г. 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(подпись)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Отметка об отказе ознакомления с проверочным листом: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(фамилия, имя, отчество (в случае, если имеется), уполномоченного</w:t>
      </w:r>
      <w:proofErr w:type="gramEnd"/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должностного лица (лиц), проводящего проверку)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«__» ____________________ 20__ г. 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(подпись)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Копию проверочного листа получи</w:t>
      </w:r>
      <w:proofErr w:type="gramStart"/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а):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иного должностного лица или уполномоченного представителя юридического</w:t>
      </w:r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лица, индивидуального предпринимателя, его уполномоченного представителя)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«__»____________________20__ г. 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     </w:t>
      </w: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(подпись)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Отметка об отказе получения проверочного листа: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(фамилия, имя, отчество (в случае, если имеется), уполномоченного</w:t>
      </w:r>
      <w:proofErr w:type="gramEnd"/>
    </w:p>
    <w:p w:rsidR="001C5120" w:rsidRPr="001C5120" w:rsidRDefault="001C5120" w:rsidP="001C5120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должностного лица (лиц), проводящего проверку)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«__» ____________________ 20__ г. _________________________________________</w:t>
      </w:r>
    </w:p>
    <w:p w:rsidR="001C5120" w:rsidRPr="001C5120" w:rsidRDefault="001C5120" w:rsidP="001C5120">
      <w:pPr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  <w:r w:rsidRPr="001C512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  </w:t>
      </w:r>
      <w:r w:rsidRPr="001C5120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(подпись)</w:t>
      </w:r>
    </w:p>
    <w:p w:rsidR="00E97307" w:rsidRPr="006F2392" w:rsidRDefault="00E97307" w:rsidP="001C5120">
      <w:pPr>
        <w:pStyle w:val="HEADERTEXT"/>
        <w:jc w:val="center"/>
        <w:rPr>
          <w:color w:val="auto"/>
        </w:rPr>
      </w:pPr>
    </w:p>
    <w:sectPr w:rsidR="00E97307" w:rsidRPr="006F2392" w:rsidSect="00241E16">
      <w:headerReference w:type="default" r:id="rId12"/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23" w:rsidRDefault="00682323" w:rsidP="00492B84">
      <w:pPr>
        <w:spacing w:after="0" w:line="240" w:lineRule="auto"/>
      </w:pPr>
      <w:r>
        <w:separator/>
      </w:r>
    </w:p>
  </w:endnote>
  <w:endnote w:type="continuationSeparator" w:id="0">
    <w:p w:rsidR="00682323" w:rsidRDefault="00682323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23" w:rsidRDefault="00682323" w:rsidP="00492B84">
      <w:pPr>
        <w:spacing w:after="0" w:line="240" w:lineRule="auto"/>
      </w:pPr>
      <w:r>
        <w:separator/>
      </w:r>
    </w:p>
  </w:footnote>
  <w:footnote w:type="continuationSeparator" w:id="0">
    <w:p w:rsidR="00682323" w:rsidRDefault="00682323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D77ED"/>
    <w:rsid w:val="001911E7"/>
    <w:rsid w:val="001C4E40"/>
    <w:rsid w:val="001C5120"/>
    <w:rsid w:val="001E1970"/>
    <w:rsid w:val="001E5DBE"/>
    <w:rsid w:val="00203A61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16E8B"/>
    <w:rsid w:val="00321344"/>
    <w:rsid w:val="00322C00"/>
    <w:rsid w:val="0032339C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4402DB"/>
    <w:rsid w:val="00443F2A"/>
    <w:rsid w:val="00464F2F"/>
    <w:rsid w:val="00481997"/>
    <w:rsid w:val="00492B84"/>
    <w:rsid w:val="00496DB4"/>
    <w:rsid w:val="004C0F22"/>
    <w:rsid w:val="004D45EE"/>
    <w:rsid w:val="004D6B13"/>
    <w:rsid w:val="004E19A4"/>
    <w:rsid w:val="005146D8"/>
    <w:rsid w:val="005604A8"/>
    <w:rsid w:val="005C522E"/>
    <w:rsid w:val="005E20A8"/>
    <w:rsid w:val="005F6D22"/>
    <w:rsid w:val="00612416"/>
    <w:rsid w:val="00654514"/>
    <w:rsid w:val="006712EE"/>
    <w:rsid w:val="0067210A"/>
    <w:rsid w:val="00682323"/>
    <w:rsid w:val="00685109"/>
    <w:rsid w:val="00691A9F"/>
    <w:rsid w:val="0069202E"/>
    <w:rsid w:val="006C3EF7"/>
    <w:rsid w:val="006D7377"/>
    <w:rsid w:val="006E054C"/>
    <w:rsid w:val="006E3E3D"/>
    <w:rsid w:val="006F2392"/>
    <w:rsid w:val="00732EF3"/>
    <w:rsid w:val="0076177D"/>
    <w:rsid w:val="007718A3"/>
    <w:rsid w:val="00773CE3"/>
    <w:rsid w:val="0077680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E0820"/>
    <w:rsid w:val="00A131FE"/>
    <w:rsid w:val="00A14723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C01908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D02F1"/>
    <w:rsid w:val="00E00150"/>
    <w:rsid w:val="00E07BC0"/>
    <w:rsid w:val="00E13414"/>
    <w:rsid w:val="00E20E8F"/>
    <w:rsid w:val="00E242C0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80akiahdesk2ai.xn--p1ai/?p=109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Пользователь Windows</cp:lastModifiedBy>
  <cp:revision>3</cp:revision>
  <cp:lastPrinted>2022-02-17T06:00:00Z</cp:lastPrinted>
  <dcterms:created xsi:type="dcterms:W3CDTF">2022-10-26T13:39:00Z</dcterms:created>
  <dcterms:modified xsi:type="dcterms:W3CDTF">2022-10-26T13:40:00Z</dcterms:modified>
</cp:coreProperties>
</file>